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948FF19"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132E7B">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132E7B">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569F39B3" w:rsidR="006604E6" w:rsidRDefault="008C0AE5">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Health Education</w:t>
      </w:r>
      <w:r w:rsidR="004440E7">
        <w:rPr>
          <w:rFonts w:ascii="Open Sans ExtraBold" w:eastAsia="Open Sans ExtraBold" w:hAnsi="Open Sans ExtraBold" w:cs="Open Sans ExtraBold"/>
          <w:b/>
          <w:smallCaps/>
          <w:color w:val="0070C0"/>
          <w:sz w:val="56"/>
          <w:szCs w:val="56"/>
        </w:rPr>
        <w:t>,</w:t>
      </w:r>
    </w:p>
    <w:p w14:paraId="00000005" w14:textId="1EE74557" w:rsidR="006604E6" w:rsidRDefault="008C0AE5">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Pre</w:t>
      </w:r>
      <w:r w:rsidR="000D32D3">
        <w:rPr>
          <w:rFonts w:ascii="Open Sans SemiBold" w:eastAsia="Open Sans SemiBold" w:hAnsi="Open Sans SemiBold" w:cs="Open Sans SemiBold"/>
          <w:b/>
          <w:smallCaps/>
          <w:color w:val="0070C0"/>
          <w:sz w:val="56"/>
          <w:szCs w:val="56"/>
        </w:rPr>
        <w:t>K</w:t>
      </w:r>
      <w:r>
        <w:rPr>
          <w:rFonts w:ascii="Open Sans SemiBold" w:eastAsia="Open Sans SemiBold" w:hAnsi="Open Sans SemiBold" w:cs="Open Sans SemiBold"/>
          <w:b/>
          <w:smallCaps/>
          <w:color w:val="0070C0"/>
          <w:sz w:val="56"/>
          <w:szCs w:val="56"/>
        </w:rPr>
        <w:t>-12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29EEECBB" w:rsidR="006604E6" w:rsidRDefault="00132E7B">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PreK-</w:t>
      </w:r>
      <w:r w:rsidR="008C0AE5">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132E7B">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506F0C1E" w14:textId="77777777" w:rsidR="00132E7B" w:rsidRDefault="00132E7B" w:rsidP="00132E7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4F30B0EA" w14:textId="77777777" w:rsidR="00132E7B" w:rsidRDefault="00132E7B" w:rsidP="00132E7B">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19FFEEEE" w14:textId="77777777" w:rsidR="00132E7B" w:rsidRDefault="00132E7B" w:rsidP="00132E7B">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0A7DE5D9" w14:textId="77777777" w:rsidR="00132E7B" w:rsidRDefault="00132E7B" w:rsidP="00132E7B">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1AE770F4" w14:textId="77777777" w:rsidR="00132E7B" w:rsidRDefault="00132E7B" w:rsidP="00132E7B">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3BE5002E" w14:textId="77777777" w:rsidR="00132E7B" w:rsidRDefault="00132E7B" w:rsidP="00132E7B">
      <w:pPr>
        <w:rPr>
          <w:rFonts w:ascii="Open Sans Light" w:eastAsia="Open Sans Light" w:hAnsi="Open Sans Light" w:cs="Open Sans Light"/>
          <w:b/>
          <w:sz w:val="22"/>
          <w:szCs w:val="22"/>
        </w:rPr>
      </w:pPr>
    </w:p>
    <w:p w14:paraId="5B44BFBF" w14:textId="77777777" w:rsidR="00132E7B" w:rsidRDefault="00132E7B" w:rsidP="00132E7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777CF6D2" w14:textId="77777777" w:rsidR="00132E7B" w:rsidRDefault="00132E7B" w:rsidP="00132E7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1015E0D6" w14:textId="77777777" w:rsidR="00132E7B" w:rsidRDefault="00132E7B" w:rsidP="00132E7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325F1FAD" w14:textId="77777777" w:rsidR="00132E7B" w:rsidRDefault="00132E7B" w:rsidP="00132E7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64EF097" w14:textId="77777777" w:rsidR="00132E7B" w:rsidRDefault="00132E7B" w:rsidP="00132E7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1D7081F0" w14:textId="77777777" w:rsidR="00132E7B" w:rsidRDefault="00132E7B" w:rsidP="00132E7B">
      <w:pPr>
        <w:rPr>
          <w:rFonts w:ascii="Open Sans Light" w:eastAsia="Open Sans Light" w:hAnsi="Open Sans Light" w:cs="Open Sans Light"/>
          <w:b/>
          <w:sz w:val="22"/>
          <w:szCs w:val="22"/>
        </w:rPr>
      </w:pPr>
    </w:p>
    <w:p w14:paraId="003586B2" w14:textId="77777777" w:rsidR="00132E7B" w:rsidRDefault="00132E7B" w:rsidP="00132E7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207CF81D" w14:textId="77777777" w:rsidR="00132E7B" w:rsidRPr="001339EC" w:rsidRDefault="00132E7B" w:rsidP="00132E7B">
      <w:pPr>
        <w:rPr>
          <w:rFonts w:ascii="Open Sans Light" w:eastAsia="Open Sans Light" w:hAnsi="Open Sans Light" w:cs="Open Sans Light"/>
          <w:b/>
          <w:color w:val="365F91" w:themeColor="accent1" w:themeShade="BF"/>
          <w:sz w:val="22"/>
          <w:szCs w:val="22"/>
        </w:rPr>
      </w:pPr>
      <w:bookmarkStart w:id="0"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p w14:paraId="00000025" w14:textId="03B3E1AD"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76EB1A32" w14:textId="26E5572F" w:rsidR="00534D07" w:rsidRDefault="00534D07" w:rsidP="00534D07">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6AF46838" w:rsidR="006604E6" w:rsidRDefault="00073AFD">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Health Education 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2D4E7F18" w14:textId="77777777" w:rsidR="008C0AE5" w:rsidRDefault="008C0AE5" w:rsidP="001548B9">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 xml:space="preserve">Standard 1: Content and Foundational Knowledge </w:t>
            </w:r>
          </w:p>
          <w:p w14:paraId="00000047" w14:textId="48DEFAF6" w:rsidR="001548B9" w:rsidRDefault="008C0AE5" w:rsidP="001548B9">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Health education candidates demonstrate an understanding of health education content, health literacy skills, digital literacy skills, theoretical foundations, applicable PreK-12 health education standards for the purpose of instilling healthy behaviors in all learners.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2DABF95A" w14:textId="77777777" w:rsidR="008C0AE5" w:rsidRDefault="008C0AE5" w:rsidP="001548B9">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 xml:space="preserve">Standard 2: Planning </w:t>
            </w:r>
          </w:p>
          <w:p w14:paraId="00000049" w14:textId="440923B7" w:rsidR="001548B9" w:rsidRDefault="008C0AE5" w:rsidP="001548B9">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Health education candidates plan relevant and meaningful school health education instruction and programs that are sequential and aligned with appropriate PreK-12 health education standards. Plans include the use of instructional technology, integration of other content areas, resources and accommodations that support the needs of all learners.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3FCF668A" w14:textId="77777777" w:rsidR="008C0AE5" w:rsidRDefault="008C0AE5" w:rsidP="001548B9">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 xml:space="preserve">Standard 3: Implementation </w:t>
            </w:r>
          </w:p>
          <w:p w14:paraId="0000004B" w14:textId="2F17D191" w:rsidR="001548B9" w:rsidRDefault="008C0AE5" w:rsidP="001548B9">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Health education candidates implement a range of school health education instructional strategies, and classroom management practices, to support all learners. Candidates demonstrate communication skills, feedback, and the use of reflective practice strategies to meet the diverse needs of all learners.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F20A184" w14:textId="77777777" w:rsidR="008C0AE5" w:rsidRDefault="008C0AE5">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 xml:space="preserve">Standard 4: Assessment of Student Learning </w:t>
            </w:r>
          </w:p>
          <w:p w14:paraId="0000004D" w14:textId="3554BE98" w:rsidR="006604E6" w:rsidRDefault="008C0AE5">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lastRenderedPageBreak/>
              <w:t>Health education candidates use multiple methods of assessment to plan instruction, engage all learners, monitor learner progress, provide meaningful feedback, and reflect on/adjust units and lessons to enhance the acquisition of functional health knowledge and health-related skill proficiency for all learners.</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6519D8E2" w14:textId="77777777" w:rsidR="008C0AE5" w:rsidRDefault="008C0AE5">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 xml:space="preserve">Standard 5: Professional Responsibility </w:t>
            </w:r>
          </w:p>
          <w:p w14:paraId="0000004F" w14:textId="50018360" w:rsidR="006604E6" w:rsidRDefault="008C0AE5">
            <w:pPr>
              <w:tabs>
                <w:tab w:val="left" w:pos="356"/>
              </w:tabs>
              <w:rPr>
                <w:rFonts w:ascii="Open Sans Light" w:eastAsia="Open Sans Light" w:hAnsi="Open Sans Light" w:cs="Open Sans Light"/>
                <w:b/>
                <w:sz w:val="20"/>
                <w:szCs w:val="20"/>
              </w:rPr>
            </w:pPr>
            <w:r w:rsidRPr="008C0AE5">
              <w:rPr>
                <w:rFonts w:ascii="Open Sans Light" w:eastAsia="Open Sans Light" w:hAnsi="Open Sans Light" w:cs="Open Sans Light"/>
                <w:b/>
                <w:sz w:val="20"/>
                <w:szCs w:val="20"/>
              </w:rPr>
              <w:t>Health education candidates work collaboratively with all stakeholders, demonstrate ethical behavior, and engage in and reflect on professional learning opportunities in order to meet the diverse needs of all learners. Health education candidates communicate with stakeholders and advocate for school health education as an integral component of the school experience.</w:t>
            </w:r>
          </w:p>
        </w:tc>
        <w:tc>
          <w:tcPr>
            <w:tcW w:w="4725" w:type="dxa"/>
          </w:tcPr>
          <w:p w14:paraId="00000050"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132E7B">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1B618AB8" w14:textId="77777777" w:rsidR="008C0AE5" w:rsidRPr="008C0AE5" w:rsidRDefault="008C0AE5" w:rsidP="008C0AE5">
            <w:pPr>
              <w:shd w:val="clear" w:color="auto" w:fill="FFFFFF"/>
              <w:tabs>
                <w:tab w:val="left" w:pos="360"/>
              </w:tabs>
              <w:rPr>
                <w:rFonts w:ascii="Open Sans Light" w:eastAsia="Open Sans Light" w:hAnsi="Open Sans Light" w:cs="Open Sans Light"/>
                <w:b/>
                <w:bCs/>
                <w:sz w:val="22"/>
                <w:szCs w:val="22"/>
              </w:rPr>
            </w:pPr>
            <w:r w:rsidRPr="008C0AE5">
              <w:rPr>
                <w:rFonts w:ascii="Open Sans Light" w:eastAsia="Open Sans Light" w:hAnsi="Open Sans Light" w:cs="Open Sans Light"/>
                <w:b/>
                <w:bCs/>
                <w:sz w:val="22"/>
                <w:szCs w:val="22"/>
              </w:rPr>
              <w:t xml:space="preserve">Standard 1: Content and Foundational Knowledge </w:t>
            </w:r>
          </w:p>
          <w:p w14:paraId="0000006F" w14:textId="0813798F" w:rsidR="006604E6" w:rsidRPr="007F1B6D" w:rsidRDefault="008C0AE5" w:rsidP="008C0AE5">
            <w:pPr>
              <w:shd w:val="clear" w:color="auto" w:fill="FFFFFF"/>
              <w:tabs>
                <w:tab w:val="left" w:pos="360"/>
              </w:tabs>
              <w:rPr>
                <w:rFonts w:ascii="Open Sans Light" w:eastAsia="Open Sans Light" w:hAnsi="Open Sans Light" w:cs="Open Sans Light"/>
                <w:sz w:val="22"/>
                <w:szCs w:val="22"/>
              </w:rPr>
            </w:pPr>
            <w:r w:rsidRPr="008C0AE5">
              <w:rPr>
                <w:rFonts w:ascii="Open Sans Light" w:eastAsia="Open Sans Light" w:hAnsi="Open Sans Light" w:cs="Open Sans Light"/>
                <w:sz w:val="22"/>
                <w:szCs w:val="22"/>
              </w:rPr>
              <w:t>Health education candidates demonstrate an understanding of health education content, health literacy skills, digital literacy skills, theoretical foundations, applicable PreK-12 health education standards for the purpose of instilling healthy behaviors in all learners.</w:t>
            </w:r>
          </w:p>
          <w:p w14:paraId="00000070" w14:textId="77777777" w:rsidR="006604E6" w:rsidRPr="007F1B6D" w:rsidRDefault="006604E6" w:rsidP="00FA7060">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132E7B">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46970CB1" w14:textId="77777777" w:rsidR="008C0AE5" w:rsidRPr="008C0AE5" w:rsidRDefault="008C0AE5" w:rsidP="008C0AE5">
            <w:pPr>
              <w:shd w:val="clear" w:color="auto" w:fill="FFFFFF"/>
              <w:tabs>
                <w:tab w:val="left" w:pos="360"/>
              </w:tabs>
              <w:rPr>
                <w:rFonts w:ascii="Open Sans Light" w:eastAsia="Open Sans Light" w:hAnsi="Open Sans Light" w:cs="Open Sans Light"/>
                <w:b/>
                <w:bCs/>
                <w:sz w:val="22"/>
                <w:szCs w:val="22"/>
              </w:rPr>
            </w:pPr>
            <w:r w:rsidRPr="008C0AE5">
              <w:rPr>
                <w:rFonts w:ascii="Open Sans Light" w:eastAsia="Open Sans Light" w:hAnsi="Open Sans Light" w:cs="Open Sans Light"/>
                <w:b/>
                <w:bCs/>
                <w:sz w:val="22"/>
                <w:szCs w:val="22"/>
              </w:rPr>
              <w:t xml:space="preserve">Standard 2: Planning </w:t>
            </w:r>
          </w:p>
          <w:p w14:paraId="0000007A" w14:textId="3695B16C" w:rsidR="006604E6" w:rsidRPr="007F1B6D" w:rsidRDefault="008C0AE5" w:rsidP="008C0AE5">
            <w:pPr>
              <w:shd w:val="clear" w:color="auto" w:fill="FFFFFF"/>
              <w:tabs>
                <w:tab w:val="left" w:pos="360"/>
              </w:tabs>
              <w:rPr>
                <w:rFonts w:ascii="Open Sans Light" w:eastAsia="Open Sans Light" w:hAnsi="Open Sans Light" w:cs="Open Sans Light"/>
                <w:sz w:val="22"/>
                <w:szCs w:val="22"/>
              </w:rPr>
            </w:pPr>
            <w:r w:rsidRPr="008C0AE5">
              <w:rPr>
                <w:rFonts w:ascii="Open Sans Light" w:eastAsia="Open Sans Light" w:hAnsi="Open Sans Light" w:cs="Open Sans Light"/>
                <w:sz w:val="22"/>
                <w:szCs w:val="22"/>
              </w:rPr>
              <w:t>Health education candidates plan relevant and meaningful school health education instruction and programs that are sequential and aligned with appropriate PreK-12 health education standards. Plans include the use of instructional technology, integration of other content areas, resources and accommodations that support the needs of all learners.</w:t>
            </w:r>
          </w:p>
          <w:p w14:paraId="0000007B" w14:textId="77777777" w:rsidR="006604E6" w:rsidRPr="007F1B6D" w:rsidRDefault="006604E6" w:rsidP="00FA7060">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132E7B"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3614BF93" w14:textId="77777777" w:rsidR="008C0AE5" w:rsidRPr="008C0AE5" w:rsidRDefault="008C0AE5" w:rsidP="008C0AE5">
            <w:pPr>
              <w:shd w:val="clear" w:color="auto" w:fill="FFFFFF"/>
              <w:tabs>
                <w:tab w:val="left" w:pos="360"/>
              </w:tabs>
              <w:rPr>
                <w:rFonts w:ascii="Open Sans Light" w:eastAsia="Open Sans Light" w:hAnsi="Open Sans Light" w:cs="Open Sans Light"/>
                <w:b/>
                <w:bCs/>
                <w:sz w:val="22"/>
                <w:szCs w:val="22"/>
              </w:rPr>
            </w:pPr>
            <w:r w:rsidRPr="008C0AE5">
              <w:rPr>
                <w:rFonts w:ascii="Open Sans Light" w:eastAsia="Open Sans Light" w:hAnsi="Open Sans Light" w:cs="Open Sans Light"/>
                <w:b/>
                <w:bCs/>
                <w:sz w:val="22"/>
                <w:szCs w:val="22"/>
              </w:rPr>
              <w:t xml:space="preserve">Standard 3: Implementation </w:t>
            </w:r>
          </w:p>
          <w:p w14:paraId="1C9B257F" w14:textId="68C8DA7C" w:rsidR="00840183" w:rsidRPr="007F1B6D" w:rsidRDefault="008C0AE5" w:rsidP="008C0AE5">
            <w:pPr>
              <w:shd w:val="clear" w:color="auto" w:fill="FFFFFF"/>
              <w:tabs>
                <w:tab w:val="left" w:pos="360"/>
              </w:tabs>
              <w:rPr>
                <w:rFonts w:ascii="Open Sans Light" w:eastAsia="Open Sans Light" w:hAnsi="Open Sans Light" w:cs="Open Sans Light"/>
                <w:sz w:val="22"/>
                <w:szCs w:val="22"/>
              </w:rPr>
            </w:pPr>
            <w:r w:rsidRPr="008C0AE5">
              <w:rPr>
                <w:rFonts w:ascii="Open Sans Light" w:eastAsia="Open Sans Light" w:hAnsi="Open Sans Light" w:cs="Open Sans Light"/>
                <w:sz w:val="22"/>
                <w:szCs w:val="22"/>
              </w:rPr>
              <w:t>Health education candidates implement a range of school health education instructional strategies, and classroom management practices, to support all learners. Candidates demonstrate communication skills, feedback, and the use of reflective practice strategies to meet the diverse needs of all learners.</w:t>
            </w:r>
          </w:p>
          <w:p w14:paraId="06FA4A83" w14:textId="77777777" w:rsidR="00840183" w:rsidRPr="007F1B6D" w:rsidRDefault="00840183" w:rsidP="005B33AE">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46BE6693" w14:textId="77777777" w:rsidR="008C0AE5" w:rsidRPr="008C0AE5" w:rsidRDefault="008C0AE5" w:rsidP="008C0AE5">
            <w:pPr>
              <w:shd w:val="clear" w:color="auto" w:fill="FFFFFF"/>
              <w:tabs>
                <w:tab w:val="left" w:pos="360"/>
              </w:tabs>
              <w:rPr>
                <w:rFonts w:ascii="Open Sans Light" w:eastAsia="Open Sans Light" w:hAnsi="Open Sans Light" w:cs="Open Sans Light"/>
                <w:b/>
                <w:bCs/>
                <w:sz w:val="22"/>
                <w:szCs w:val="22"/>
              </w:rPr>
            </w:pPr>
            <w:r w:rsidRPr="008C0AE5">
              <w:rPr>
                <w:rFonts w:ascii="Open Sans Light" w:eastAsia="Open Sans Light" w:hAnsi="Open Sans Light" w:cs="Open Sans Light"/>
                <w:b/>
                <w:bCs/>
                <w:sz w:val="22"/>
                <w:szCs w:val="22"/>
              </w:rPr>
              <w:t xml:space="preserve">Standard 4: Assessment of Student Learning </w:t>
            </w:r>
          </w:p>
          <w:p w14:paraId="37D93670" w14:textId="5B27ACDE" w:rsidR="00840183" w:rsidRPr="007F1B6D" w:rsidRDefault="008C0AE5" w:rsidP="008C0AE5">
            <w:pPr>
              <w:shd w:val="clear" w:color="auto" w:fill="FFFFFF"/>
              <w:tabs>
                <w:tab w:val="left" w:pos="360"/>
              </w:tabs>
              <w:rPr>
                <w:rFonts w:ascii="Open Sans Light" w:eastAsia="Open Sans Light" w:hAnsi="Open Sans Light" w:cs="Open Sans Light"/>
                <w:sz w:val="22"/>
                <w:szCs w:val="22"/>
              </w:rPr>
            </w:pPr>
            <w:r w:rsidRPr="008C0AE5">
              <w:rPr>
                <w:rFonts w:ascii="Open Sans Light" w:eastAsia="Open Sans Light" w:hAnsi="Open Sans Light" w:cs="Open Sans Light"/>
                <w:sz w:val="22"/>
                <w:szCs w:val="22"/>
              </w:rPr>
              <w:t>Health education candidates use multiple methods of assessment to plan instruction, engage all learners, monitor learner progress, provide meaningful feedback, and reflect on/adjust units and lessons to enhance the acquisition of functional health knowledge and health-related skill proficiency for all learners.</w:t>
            </w:r>
          </w:p>
          <w:p w14:paraId="230A3C42" w14:textId="77777777" w:rsidR="00840183" w:rsidRPr="007F1B6D" w:rsidRDefault="00840183" w:rsidP="005B33AE">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132E7B"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83B335F" w14:textId="77777777" w:rsidR="008C0AE5" w:rsidRDefault="008C0AE5" w:rsidP="008C0AE5">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C0AE5" w:rsidRPr="007F1B6D" w14:paraId="2D2DDE44" w14:textId="77777777" w:rsidTr="00E334CD">
        <w:tc>
          <w:tcPr>
            <w:tcW w:w="9360" w:type="dxa"/>
          </w:tcPr>
          <w:p w14:paraId="5B549A6F" w14:textId="77777777" w:rsidR="008C0AE5" w:rsidRPr="008C0AE5" w:rsidRDefault="008C0AE5" w:rsidP="008C0AE5">
            <w:pPr>
              <w:shd w:val="clear" w:color="auto" w:fill="FFFFFF"/>
              <w:tabs>
                <w:tab w:val="left" w:pos="360"/>
              </w:tabs>
              <w:rPr>
                <w:rFonts w:ascii="Open Sans Light" w:eastAsia="Open Sans Light" w:hAnsi="Open Sans Light" w:cs="Open Sans Light"/>
                <w:b/>
                <w:bCs/>
                <w:sz w:val="22"/>
                <w:szCs w:val="22"/>
              </w:rPr>
            </w:pPr>
            <w:r w:rsidRPr="008C0AE5">
              <w:rPr>
                <w:rFonts w:ascii="Open Sans Light" w:eastAsia="Open Sans Light" w:hAnsi="Open Sans Light" w:cs="Open Sans Light"/>
                <w:b/>
                <w:bCs/>
                <w:sz w:val="22"/>
                <w:szCs w:val="22"/>
              </w:rPr>
              <w:t xml:space="preserve">Standard 5: Professional Responsibility </w:t>
            </w:r>
          </w:p>
          <w:p w14:paraId="522E946F" w14:textId="67E280D2" w:rsidR="008C0AE5" w:rsidRPr="007F1B6D" w:rsidRDefault="008C0AE5" w:rsidP="008C0AE5">
            <w:pPr>
              <w:shd w:val="clear" w:color="auto" w:fill="FFFFFF"/>
              <w:tabs>
                <w:tab w:val="left" w:pos="360"/>
              </w:tabs>
              <w:rPr>
                <w:rFonts w:ascii="Open Sans Light" w:eastAsia="Open Sans Light" w:hAnsi="Open Sans Light" w:cs="Open Sans Light"/>
                <w:sz w:val="22"/>
                <w:szCs w:val="22"/>
              </w:rPr>
            </w:pPr>
            <w:r w:rsidRPr="008C0AE5">
              <w:rPr>
                <w:rFonts w:ascii="Open Sans Light" w:eastAsia="Open Sans Light" w:hAnsi="Open Sans Light" w:cs="Open Sans Light"/>
                <w:sz w:val="22"/>
                <w:szCs w:val="22"/>
              </w:rPr>
              <w:t>Health education candidates work collaboratively with all stakeholders, demonstrate ethical behavior, and engage in and reflect on professional learning opportunities in order to meet the diverse needs of all learners. Health education candidates communicate with stakeholders and advocate for school health education as an integral component of the school experience.</w:t>
            </w:r>
          </w:p>
          <w:p w14:paraId="600146C1" w14:textId="77777777" w:rsidR="008C0AE5" w:rsidRPr="007F1B6D" w:rsidRDefault="008C0AE5" w:rsidP="00E334CD">
            <w:pPr>
              <w:shd w:val="clear" w:color="auto" w:fill="FFFFFF"/>
              <w:tabs>
                <w:tab w:val="left" w:pos="360"/>
              </w:tabs>
              <w:rPr>
                <w:rFonts w:ascii="Open Sans Light" w:eastAsia="Open Sans Light" w:hAnsi="Open Sans Light" w:cs="Open Sans Light"/>
                <w:sz w:val="22"/>
                <w:szCs w:val="22"/>
              </w:rPr>
            </w:pPr>
          </w:p>
          <w:p w14:paraId="2C04518D" w14:textId="77777777" w:rsidR="008C0AE5" w:rsidRPr="007F1B6D" w:rsidRDefault="008C0AE5" w:rsidP="00E334C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CB9563B" w14:textId="77777777" w:rsidR="008C0AE5" w:rsidRPr="007F1B6D" w:rsidRDefault="00132E7B" w:rsidP="00E334CD">
            <w:pPr>
              <w:rPr>
                <w:rFonts w:ascii="Open Sans Light" w:eastAsia="Open Sans Light" w:hAnsi="Open Sans Light" w:cs="Open Sans Light"/>
                <w:sz w:val="22"/>
                <w:szCs w:val="22"/>
              </w:rPr>
            </w:pPr>
            <w:sdt>
              <w:sdtPr>
                <w:rPr>
                  <w:sz w:val="22"/>
                  <w:szCs w:val="22"/>
                </w:rPr>
                <w:tag w:val="goog_rdk_19"/>
                <w:id w:val="1741599508"/>
              </w:sdtPr>
              <w:sdtEndPr/>
              <w:sdtContent/>
            </w:sdt>
            <w:r w:rsidR="008C0AE5" w:rsidRPr="007F1B6D">
              <w:rPr>
                <w:rFonts w:ascii="Open Sans Light" w:eastAsia="Open Sans Light" w:hAnsi="Open Sans Light" w:cs="Open Sans Light"/>
                <w:sz w:val="22"/>
                <w:szCs w:val="22"/>
              </w:rPr>
              <w:t>[enter text here]</w:t>
            </w:r>
          </w:p>
        </w:tc>
      </w:tr>
    </w:tbl>
    <w:p w14:paraId="53B49F75" w14:textId="77777777" w:rsidR="008C0AE5" w:rsidRPr="00840183" w:rsidRDefault="008C0AE5" w:rsidP="008C0AE5">
      <w:pPr>
        <w:rPr>
          <w:rFonts w:ascii="Open Sans Light" w:eastAsia="Open Sans Light" w:hAnsi="Open Sans Light" w:cs="Open Sans Light"/>
          <w:b/>
          <w:sz w:val="22"/>
          <w:szCs w:val="22"/>
        </w:rPr>
      </w:pPr>
    </w:p>
    <w:p w14:paraId="535633A7" w14:textId="77777777" w:rsidR="008C0AE5" w:rsidRPr="00840183" w:rsidRDefault="008C0AE5" w:rsidP="008C0AE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49FC9074" w:rsidR="006604E6" w:rsidRDefault="008C0AE5">
    <w:pPr>
      <w:pBdr>
        <w:top w:val="nil"/>
        <w:left w:val="nil"/>
        <w:bottom w:val="nil"/>
        <w:right w:val="nil"/>
        <w:between w:val="nil"/>
      </w:pBdr>
      <w:tabs>
        <w:tab w:val="center" w:pos="4320"/>
        <w:tab w:val="right" w:pos="8640"/>
        <w:tab w:val="right" w:pos="9180"/>
        <w:tab w:val="right" w:pos="12780"/>
      </w:tabs>
      <w:ind w:right="360"/>
      <w:rPr>
        <w:b/>
        <w:color w:val="000000"/>
      </w:rPr>
    </w:pPr>
    <w:r>
      <w:rPr>
        <w:b/>
      </w:rPr>
      <w:t>Health Education</w:t>
    </w:r>
    <w:r w:rsidR="004440E7">
      <w:rPr>
        <w:b/>
        <w:color w:val="000000"/>
      </w:rPr>
      <w:t xml:space="preserve">, </w:t>
    </w:r>
    <w:r>
      <w:rPr>
        <w:b/>
        <w:color w:val="000000"/>
      </w:rPr>
      <w:t>2020</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73AFD"/>
    <w:rsid w:val="000D32D3"/>
    <w:rsid w:val="00132E7B"/>
    <w:rsid w:val="001548B9"/>
    <w:rsid w:val="001C5078"/>
    <w:rsid w:val="0020501F"/>
    <w:rsid w:val="003470D2"/>
    <w:rsid w:val="00442E2F"/>
    <w:rsid w:val="004440E7"/>
    <w:rsid w:val="004944DB"/>
    <w:rsid w:val="00527EBE"/>
    <w:rsid w:val="00534D07"/>
    <w:rsid w:val="00641BCC"/>
    <w:rsid w:val="006604E6"/>
    <w:rsid w:val="007F1B6D"/>
    <w:rsid w:val="00820AB3"/>
    <w:rsid w:val="00840183"/>
    <w:rsid w:val="008C0AE5"/>
    <w:rsid w:val="00906C59"/>
    <w:rsid w:val="009767DE"/>
    <w:rsid w:val="00AA1246"/>
    <w:rsid w:val="00BC5058"/>
    <w:rsid w:val="00BD7C64"/>
    <w:rsid w:val="00BE3BE0"/>
    <w:rsid w:val="00C762F4"/>
    <w:rsid w:val="00C844A4"/>
    <w:rsid w:val="00CB2464"/>
    <w:rsid w:val="00CF68AC"/>
    <w:rsid w:val="00D03356"/>
    <w:rsid w:val="00D13CC9"/>
    <w:rsid w:val="00DD1645"/>
    <w:rsid w:val="00DF5A12"/>
    <w:rsid w:val="00EB6F2F"/>
    <w:rsid w:val="00ED382E"/>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2025-09-25T20:34:00Z</dcterms:created>
  <dcterms:modified xsi:type="dcterms:W3CDTF">2025-09-25T20:34:00Z</dcterms:modified>
</cp:coreProperties>
</file>